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June 2021 at 04:45 PM by Stephen Macphail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22 June 2021 at 10:06 AM by Stephanie Barron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June 2021 at 04:45 PM by Stephen Macphail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22 June 2021 at 10:06 AM by Stephanie Barron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Daylesford Secondary College (7115)</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543001"/>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543001"/>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19466A" w:rsidRPr="001D3C2B" w:rsidP="0019466A">
      <w:pPr>
        <w:pStyle w:val="Style1"/>
        <w:spacing w:before="0" w:after="120"/>
      </w:pPr>
      <w:r w:rsidRPr="001D3C2B">
        <w:t>What’s changed in 2020?</w:t>
      </w:r>
    </w:p>
    <w:p w:rsidR="00046522" w:rsidRPr="00046522" w:rsidP="00046522">
      <w:pPr>
        <w:pStyle w:val="ESBodyText0"/>
        <w:spacing w:line="240" w:lineRule="auto"/>
        <w:rPr>
          <w:b/>
          <w:bCs/>
        </w:rPr>
      </w:pPr>
      <w:bookmarkStart w:id="0" w:name="_Hlk64558266"/>
      <w:bookmarkStart w:id="1" w:name="_Hlk64558590"/>
      <w:r w:rsidRPr="00046522">
        <w:rPr>
          <w:b/>
          <w:bCs/>
        </w:rPr>
        <w:t>Improved appearance</w:t>
      </w:r>
    </w:p>
    <w:p w:rsidR="00046522" w:rsidRPr="00046522" w:rsidP="00046522">
      <w:pPr>
        <w:pStyle w:val="ESBodyText0"/>
        <w:spacing w:line="240" w:lineRule="auto"/>
      </w:pPr>
      <w:bookmarkStart w:id="2" w:name="_Hlk64557988"/>
      <w:r w:rsidRPr="00046522">
        <w:t>The appearance of the Performance Summary has been updated to more clearly represent information and to assist interpretation and comparison of individual school’s data with state averages and similar school groups.</w:t>
      </w:r>
      <w:bookmarkEnd w:id="2"/>
    </w:p>
    <w:p w:rsidR="00046522" w:rsidP="00046522">
      <w:pPr>
        <w:pStyle w:val="ESBodyText0"/>
        <w:spacing w:line="240" w:lineRule="auto"/>
        <w:rPr>
          <w:b/>
          <w:bCs/>
        </w:rPr>
      </w:pPr>
      <w:r w:rsidRPr="00046522">
        <w:rPr>
          <w:b/>
          <w:bCs/>
        </w:rPr>
        <w:t>School performance data</w:t>
      </w:r>
    </w:p>
    <w:p w:rsidR="00046522" w:rsidRPr="00046522" w:rsidP="00046522">
      <w:pPr>
        <w:pStyle w:val="ESBodyText0"/>
        <w:spacing w:line="240" w:lineRule="auto"/>
      </w:pPr>
      <w:bookmarkStart w:id="3" w:name="_Hlk64558033"/>
      <w:r w:rsidRPr="00046522">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rsidR="00046522" w:rsidRPr="00046522" w:rsidP="00046522">
      <w:pPr>
        <w:pStyle w:val="ESBodyText0"/>
        <w:spacing w:line="240" w:lineRule="auto"/>
      </w:pPr>
      <w:r w:rsidRPr="00046522">
        <w:t>For example, in 2020 school-based surveys ran under changed circumstances, and NAPLAN was not conducted. Absence and attendance data may have been influenced by local processes and procedures adopted in response to remote and flexible learning.</w:t>
      </w:r>
    </w:p>
    <w:p w:rsidR="00046522" w:rsidP="00046522">
      <w:pPr>
        <w:pStyle w:val="ESBodyText0"/>
        <w:spacing w:after="240" w:line="240" w:lineRule="auto"/>
      </w:pPr>
      <w:r w:rsidRPr="00046522">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046522">
        <w:t>.</w:t>
      </w:r>
      <w:bookmarkEnd w:id="1"/>
      <w:bookmarkEnd w:id="3"/>
    </w:p>
    <w:p w:rsidR="005568AC" w:rsidRPr="006825C7" w:rsidP="0019466A">
      <w:pPr>
        <w:pStyle w:val="Style1"/>
        <w:spacing w:before="0" w:after="120"/>
      </w:pPr>
      <w:r w:rsidRPr="006825C7">
        <w:t xml:space="preserve">What does the </w:t>
      </w:r>
      <w:r w:rsidR="00620299">
        <w:rPr>
          <w:i/>
          <w:iCs/>
        </w:rPr>
        <w:t>‘A</w:t>
      </w:r>
      <w:r w:rsidRPr="00620299">
        <w:rPr>
          <w:i/>
          <w:iCs/>
        </w:rPr>
        <w:t>bout Our School</w:t>
      </w:r>
      <w:r w:rsidR="00620299">
        <w:rPr>
          <w:i/>
          <w:iCs/>
        </w:rPr>
        <w:t>’</w:t>
      </w:r>
      <w:r w:rsidRPr="006825C7">
        <w:t xml:space="preserve"> section </w:t>
      </w:r>
      <w:r w:rsidRPr="00B637FF">
        <w:t>refer</w:t>
      </w:r>
      <w:r w:rsidRPr="006825C7">
        <w:t xml:space="preserve"> to?</w:t>
      </w:r>
    </w:p>
    <w:p w:rsidR="00046522" w:rsidP="00046522">
      <w:pPr>
        <w:pStyle w:val="ESBodyText0"/>
        <w:spacing w:line="240" w:lineRule="auto"/>
      </w:pPr>
      <w:r>
        <w:t>The About Our School section provides a brief background on the school, an outline of the school’s performance over the year and future directions.</w:t>
      </w:r>
    </w:p>
    <w:p w:rsidR="00046522" w:rsidP="00046522">
      <w:pPr>
        <w:pStyle w:val="ESBodyText0"/>
        <w:spacing w:line="240" w:lineRule="auto"/>
      </w:pPr>
      <w:r>
        <w:t>The ‘School Context’ describes the school’s vision, values and purpose. Details include the school’s geographic location, size and structure, social characteristics, enrolment characteristics and special programs.</w:t>
      </w:r>
    </w:p>
    <w:p w:rsidR="00B637FF" w:rsidP="00046522">
      <w:pPr>
        <w:pStyle w:val="ESBodyText0"/>
        <w:spacing w:after="240" w:line="240" w:lineRule="auto"/>
      </w:pPr>
      <w:r>
        <w:t>The ‘Framework for Improving Student Outcomes (FISO)’ section includes the improvement initiatives the school has selected and the progress they have made towards achieving them.</w:t>
      </w:r>
    </w:p>
    <w:p w:rsidR="005568AC" w:rsidRPr="00620299" w:rsidP="0050417D">
      <w:pPr>
        <w:pStyle w:val="Style1"/>
        <w:spacing w:before="0" w:after="120"/>
        <w:rPr>
          <w:i/>
        </w:rPr>
      </w:pPr>
      <w:r>
        <w:t xml:space="preserve">What does the </w:t>
      </w:r>
      <w:r w:rsidR="00620299">
        <w:rPr>
          <w:i/>
        </w:rPr>
        <w:t>‘P</w:t>
      </w:r>
      <w:r w:rsidRPr="007567CF">
        <w:rPr>
          <w:i/>
        </w:rPr>
        <w:t>erformance Summary</w:t>
      </w:r>
      <w:r w:rsidR="00620299">
        <w:rPr>
          <w:i/>
        </w:rPr>
        <w:t>’</w:t>
      </w:r>
      <w:r>
        <w:t xml:space="preserve"> section of this report refer to?</w:t>
      </w:r>
    </w:p>
    <w:p w:rsidR="005568AC"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sidR="0069610B">
        <w:rPr>
          <w:rFonts w:eastAsia="Arial" w:cs="Times New Roman"/>
          <w:color w:val="000000"/>
          <w:szCs w:val="20"/>
        </w:rPr>
        <w:t>the following</w:t>
      </w:r>
      <w:r>
        <w:rPr>
          <w:rFonts w:eastAsia="Arial" w:cs="Times New Roman"/>
          <w:color w:val="000000"/>
          <w:szCs w:val="20"/>
        </w:rPr>
        <w:t>:</w:t>
      </w:r>
    </w:p>
    <w:p w:rsidR="00A14E75"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sid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w:t>
      </w:r>
      <w:r>
        <w:rPr>
          <w:rFonts w:eastAsia="Arial" w:cs="Times New Roman"/>
          <w:bCs/>
          <w:color w:val="000000"/>
          <w:szCs w:val="20"/>
        </w:rPr>
        <w:t>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a</w:t>
      </w:r>
      <w:r>
        <w:rPr>
          <w:rFonts w:eastAsia="Arial" w:cs="Times New Roman"/>
          <w:bCs/>
          <w:color w:val="000000"/>
          <w:szCs w:val="20"/>
        </w:rPr>
        <w:t xml:space="preserve">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sidR="00874585">
        <w:rPr>
          <w:rFonts w:eastAsia="Arial" w:cs="Times New Roman"/>
          <w:bCs/>
          <w:color w:val="000000"/>
          <w:szCs w:val="20"/>
        </w:rPr>
        <w:t>for Secondary schools</w:t>
      </w:r>
    </w:p>
    <w:p w:rsidR="00A14E75"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sidR="00874585">
        <w:rPr>
          <w:rFonts w:eastAsia="Arial" w:cs="Times New Roman"/>
          <w:bCs/>
          <w:color w:val="000000"/>
          <w:szCs w:val="20"/>
        </w:rPr>
        <w:t xml:space="preserve"> for Secondary schools</w:t>
      </w:r>
    </w:p>
    <w:p w:rsidR="005568AC"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 and Mathematics for Teacher Judgements against the curriculum</w:t>
      </w:r>
    </w:p>
    <w:p w:rsidR="00425CEA"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Pr="0019466A" w:rsidP="00046522">
      <w:pPr>
        <w:spacing w:after="100" w:line="240" w:lineRule="auto"/>
        <w:ind w:left="1791" w:hanging="357"/>
        <w:rPr>
          <w:rFonts w:eastAsia="Arial" w:cs="Times New Roman"/>
          <w:i/>
          <w:iCs/>
          <w:color w:val="000000"/>
          <w:sz w:val="16"/>
        </w:rPr>
      </w:pPr>
      <w:r w:rsidRPr="0019466A">
        <w:rPr>
          <w:rFonts w:eastAsia="Arial" w:cs="Times New Roman"/>
          <w:i/>
          <w:iCs/>
          <w:color w:val="000000"/>
          <w:sz w:val="16"/>
        </w:rPr>
        <w:t xml:space="preserve">Note: </w:t>
      </w:r>
      <w:r w:rsidRPr="0019466A">
        <w:rPr>
          <w:rFonts w:eastAsia="Arial" w:cs="Times New Roman"/>
          <w:i/>
          <w:iCs/>
          <w:color w:val="000000"/>
          <w:sz w:val="16"/>
        </w:rPr>
        <w:t>NAPLAN tests were not conducted in 2020</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w:t>
      </w:r>
      <w:r>
        <w:rPr>
          <w:rFonts w:eastAsia="Arial" w:cs="Times New Roman"/>
          <w:color w:val="000000"/>
          <w:szCs w:val="20"/>
        </w:rPr>
        <w:t>ll subjects for Victorian Certificate of Education (VCE) examinations</w:t>
      </w:r>
    </w:p>
    <w:p w:rsidR="005568A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P="0050417D">
      <w:pPr>
        <w:spacing w:line="240" w:lineRule="auto"/>
        <w:ind w:left="720"/>
        <w:rPr>
          <w:rFonts w:eastAsia="Arial" w:cs="Times New Roman"/>
          <w:color w:val="000000"/>
          <w:szCs w:val="20"/>
        </w:rPr>
      </w:pPr>
      <w:r>
        <w:rPr>
          <w:rFonts w:eastAsia="Arial" w:cs="Times New Roman"/>
          <w:color w:val="000000"/>
          <w:szCs w:val="20"/>
        </w:rPr>
        <w:t>S</w:t>
      </w:r>
      <w:r>
        <w:rPr>
          <w:rFonts w:eastAsia="Arial" w:cs="Times New Roman"/>
          <w:color w:val="000000"/>
          <w:szCs w:val="20"/>
        </w:rPr>
        <w:t>tudent attendance and engagement at school, including:</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rsidR="00B010E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rsidR="005568AC"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sidR="00046522">
        <w:rPr>
          <w:rFonts w:eastAsia="Arial" w:cs="Times New Roman"/>
          <w:color w:val="000000"/>
          <w:szCs w:val="20"/>
        </w:rPr>
        <w:t xml:space="preserve">Student </w:t>
      </w:r>
      <w:r>
        <w:rPr>
          <w:rFonts w:eastAsia="Arial" w:cs="Times New Roman"/>
          <w:color w:val="000000"/>
          <w:szCs w:val="20"/>
        </w:rPr>
        <w:t>Attitudes to School Survey</w:t>
      </w:r>
      <w:r>
        <w:rPr>
          <w:rFonts w:eastAsia="Arial" w:cs="Times New Roman"/>
          <w:color w:val="000000"/>
          <w:szCs w:val="20"/>
        </w:rPr>
        <w:t>:</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P="00046522">
      <w:pPr>
        <w:pStyle w:val="ESBodyText0"/>
        <w:spacing w:after="0" w:line="240" w:lineRule="auto"/>
      </w:pPr>
      <w:r>
        <w:t xml:space="preserve">Results are displayed for the latest year </w:t>
      </w:r>
      <w:r w:rsidR="00733CB7">
        <w:t xml:space="preserve">and </w:t>
      </w:r>
      <w:r>
        <w:t>the average of the last four years (where available).</w:t>
      </w:r>
    </w:p>
    <w:p w:rsidR="0019466A" w:rsidRPr="00046522" w:rsidP="00046522">
      <w:pPr>
        <w:spacing w:after="0" w:line="240" w:lineRule="auto"/>
        <w:rPr>
          <w:rFonts w:eastAsiaTheme="majorEastAsia" w:cstheme="majorBidi"/>
          <w:bCs/>
          <w:sz w:val="16"/>
          <w:szCs w:val="16"/>
        </w:rPr>
      </w:pPr>
      <w:r>
        <w:br w:type="page"/>
      </w:r>
    </w:p>
    <w:p w:rsidR="0019466A" w:rsidP="0019466A">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836D70"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B637FF"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836D70" w:rsidP="00836D70">
      <w:pPr>
        <w:spacing w:line="240" w:lineRule="auto"/>
        <w:rPr>
          <w:rFonts w:eastAsia="Arial" w:cs="Times New Roman"/>
          <w:color w:val="000000"/>
          <w:szCs w:val="20"/>
        </w:rPr>
      </w:pPr>
      <w:r w:rsidRPr="008F19C0">
        <w:rPr>
          <w:rFonts w:eastAsia="Arial" w:cs="Times New Roman"/>
          <w:color w:val="000000"/>
          <w:szCs w:val="20"/>
        </w:rPr>
        <w:t>‘NDP’ refers to no data being published for privacy reasons or where there are insufficient underlying data</w:t>
      </w:r>
      <w:r>
        <w:rPr>
          <w:rFonts w:eastAsia="Arial" w:cs="Times New Roman"/>
          <w:color w:val="000000"/>
          <w:szCs w:val="20"/>
        </w:rPr>
        <w:t xml:space="preserve">. For example, very low </w:t>
      </w:r>
      <w:r w:rsidRPr="008F19C0">
        <w:rPr>
          <w:rFonts w:eastAsia="Arial" w:cs="Times New Roman"/>
          <w:color w:val="000000"/>
          <w:szCs w:val="20"/>
        </w:rPr>
        <w:t>numbers</w:t>
      </w:r>
      <w:r>
        <w:rPr>
          <w:rFonts w:eastAsia="Arial" w:cs="Times New Roman"/>
          <w:color w:val="000000"/>
          <w:szCs w:val="20"/>
        </w:rPr>
        <w:t xml:space="preserve">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rsidR="00836D70"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rsidR="004B0401" w:rsidP="00836D70">
      <w:pPr>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836D70" w:rsidP="00836D70">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and active and informed citizenship. </w:t>
      </w:r>
    </w:p>
    <w:p w:rsidR="00836D70"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rsidR="00836D70" w:rsidP="00836D70">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836D70"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836D70">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p>
    <w:p w:rsidR="003F425B"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We live in a community that values individuality, diversity and free thinking as much as we do. Daylesford College offers purpose-designed collaborative learning spaces; teachers and technologies that encourage inquisitive learning; a curriculum that emphasises critical and creative thinking; and a culture of inclusion and support. Our goal is to guide the students in our care to become confident, responsible, resilient individuals ready to make their mark in an ever-changing world.</w:t>
              <w:br/>
              <w:br/>
              <w:t>Our school motto is 'Shape the future' ... the future is in our hands and we are here to shape it. The future starts now.</w:t>
              <w:br/>
              <w:t>And our values are:</w:t>
              <w:br/>
              <w:br/>
              <w:t>•</w:t>
              <w:tab/>
              <w:t>Community ... we look out for each other and support each other. We achieve great things by working together.</w:t>
              <w:br/>
              <w:t>•</w:t>
              <w:tab/>
              <w:t>Individuality ... we value and respect diversity and difference in its many forms. We celebrate the individual.</w:t>
              <w:br/>
              <w:t>•</w:t>
              <w:tab/>
              <w:t>Determination ... we achieve our goals through perseverance and hard work. Our determination makes the difference.</w:t>
              <w:br/>
              <w:t>•</w:t>
              <w:tab/>
              <w:t>Resilience ... we learn from our mistakes and become better for it. We strive to thrive in an ever-changing world.</w:t>
              <w:br/>
              <w:br/>
              <w:t>Our overall aim is, over the next four years, to raise the achievement of all students so that they achieve at least a year’s growth for twelve months input. We aim to equip our students with the essential twenty-first century skills and knowledge and develop the whole child.</w:t>
              <w:br/>
              <w:t>With this in mind, our priorities are:</w:t>
              <w:br/>
              <w:br/>
              <w:t>•</w:t>
              <w:tab/>
              <w:t>Raise the levels of student achievement across the college.</w:t>
              <w:br/>
              <w:t>•</w:t>
              <w:tab/>
              <w:t>Improve the teaching and learning provided by all teachers in a safe, supportive cooperative learning culture.</w:t>
              <w:br/>
              <w:t>•</w:t>
              <w:tab/>
              <w:t>Align our curriculum with the Victorian Curriculum to meet the needs and aspirations of our students.</w:t>
              <w:br/>
              <w:t>•</w:t>
              <w:tab/>
              <w:t>Build the leadership capacity of our staff.</w:t>
              <w:br/>
              <w:t>•</w:t>
              <w:tab/>
              <w:t>Provide a safe and inclusive learning environment that supports the social and emotional wellbeing of all students.</w:t>
              <w:br/>
              <w:br/>
              <w:t>Daylesford College is a unique college of 500 students servicing a broad geographical area and encompassing diverse views and variable socio-economic structures. The challenges confronting the school include:</w:t>
              <w:br/>
              <w:br/>
              <w:t>•</w:t>
              <w:tab/>
              <w:t>Supporting an increasing diversity of student aspirations, attitudes, behaviour and engagement in formal education.</w:t>
              <w:br/>
              <w:t>•</w:t>
              <w:tab/>
              <w:t>Arrest the decline in student achievement in the later years of schooling.</w:t>
              <w:br/>
              <w:t>•</w:t>
              <w:tab/>
              <w:t>Ensure that students have a clear pathway from Year 7 to Year 12 whilst facilitating transition to work, apprenticeships and TAFE options.</w:t>
              <w:br/>
              <w:t>•</w:t>
              <w:tab/>
              <w:t>Continuing to build the capacity of teachers.</w:t>
              <w:br/>
              <w:t>•</w:t>
              <w:tab/>
              <w:t>Building a positive, proactive culture across the college.</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Goal: Maximise the learning growth of every student.</w:t>
              <w:br/>
              <w:t>Key improvement strategies:</w:t>
              <w:br/>
              <w:t>- Develop and embed a documented whole school guaranteed and viable curriculum focused on differentiation for student point of need.</w:t>
              <w:br/>
              <w:t>- Embed rigorous assessment practices to inform teaching and learning.</w:t>
              <w:br/>
              <w:t>- Building staff capacity in instructional practices (consistent pedagogical approaches).</w:t>
              <w:br/>
              <w:br/>
              <w:t>Goal: Improve student ownership and engagement of their learning.</w:t>
              <w:br/>
              <w:t>Key improvement strategies:</w:t>
              <w:br/>
              <w:t>- Activate and embed genuine student voice in student learning and school improvement.</w:t>
              <w:br/>
              <w:t>- Activate and embed genuine student leadership in student learning and school improvement.</w:t>
              <w:br/>
              <w:t>- Activate and embed genuine student agency in student learning and school improvement.</w:t>
              <w:br/>
              <w:br/>
              <w:t>Goal: Improve partnerships between students, staff and families.</w:t>
              <w:br/>
              <w:t>Key improvement strategies:</w:t>
              <w:br/>
              <w:t>- Define and embed a distributive instructional leadership model focused to improve student outcomes.</w:t>
              <w:br/>
              <w:t>- Enable the whole school community through a clear understanding of the school’s vision, values and the school improvement agenda.</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We continued to develop our approaches to common assessment tasks (CATs) for all Year 7 to 9 classes. Our approach involved the design of instructional rubrics based on cognitive complexity that focuses on differentiating the learning and the assessment across the ability spectrum. Using rubrics, students better understand the next steps required in their learning. Auditing / quality checking of the instructional rubrics was not achieved in 2020 due to the impact of COVID and it will be implemented in 2021. At Year 10 to 12, we continued to refine our approaches to marking and the moderation of assessments. A particular focus was placed on using the VCE grade distributions to better reflect student’s actual attainment level. This in turn provided students with more reliable feedback that they can gauge against the goals they have set. COVID resulted in no NAPLAN testing of our year 7 and 9 students in 2020.Our end of semester exams for Year 10 and 11 ran and so did our Year 7 to 9 PAT exams (in English and Maths).</w:t>
              <w:br/>
              <w:br/>
              <w:t>Our assessment data was used to identify students that had been negatively impacted by COVID and who needed ‘learning catch up’. The impacts were most greatly felt by the students who were already ‘below the standard’ and those ‘above the standard’. Several intervention programs were implemented or expanded in the wake of COVID: Year 7 to 10 literacy intervention (Fountass and Pinnell, F&amp;P), Year 7 and 8 numeracy intervention (Getting Ready in Numeracy, GRIN), Year 9 English extension, Yr 9 Maths extension, and Year 10 English (in class) support. F&amp;P saw approximately 100 students working once or twice a week in small group literacy sessions with a literacy intervention expert. GRIN saw approximately 24 students working in small groups with a Maths teacher. The Year 9 English and Maths extension saw one third of all Year 9s participate in small group sessions with an English / Maths teacher. Staffing was increased throughout the year with a new Leading Teacher Academic Interventions, Literacy Leader, Numeracy Leader plus numerous additional teaching staff employed.</w:t>
              <w:br/>
              <w:br/>
              <w:t>In terms of teacher improvement, we moved to a more collaborative approach with the formation of teacher triads. Teachers worked in teams of three to plan curriculum and revise curriculum as units progressed. A strong focus was placed on being evidence based via the use of data. The planned role out of the Professional Learning Communities (PLCs) was delayed to 2021 due to COVID but the triads provided a scaled down basic version of the PLCs. Our ability to harness the power of data in our planning was improved by the setting up of a data warehouse that stores all our data and is easily accessed by staff (via XUNO-Accelerus). In parallel to this was the creation of the data room at school. This space was created as a planning space for staff to come together in teams to plan collaboratively. We also created a new Data Manager.</w:t>
              <w:br/>
              <w:br/>
              <w:t>Given the year, our VCE results were in line with expectations (our expectation is that we keep improving). The College continues to improve its results year on year and the trend continues to be upwards. The 2020 achievement highlights were all VCE related (many yearly targets are based on NAPLAN which didn't run in 2020 due to COVID).</w:t>
              <w:br/>
              <w:br/>
              <w:t>- The percentage of students achieving an ATAR of 80+ remained steady at 15% (15% in 2019, 13% in 2018, 10% in 2017).</w:t>
              <w:br/>
              <w:t>- Average ATAR score increased to 57.79 for the fourth year in a row (54.70 in 2019, 53.57 in 2018, 49.96 in 2017).</w:t>
              <w:br/>
              <w:t>- Average VCE study increased to 27.7 in 2020 and higher than 'like' schools (26.7 in 2019, 27.0 in 2018, 25.7 in 2017).</w:t>
              <w:br/>
              <w:t>- Average study score in VCE English increased to 26.9 for the fourth year in a row (26.7 in 2019, 26.1 in 2018, 25.8 in 2017).</w:t>
              <w:br/>
              <w:t>- Average study score in all VCE Maths subjects increased to 28.4 for third year in a row (26.9 in 2019, 25.0 in 2018, 25.7 in 2017).</w:t>
              <w:br/>
              <w:br/>
              <w:t>Towards the end of the year a significant amount of work was done to develop Individual Learning Plans (ILPs) for more than just the funded students. ILP were literacy focussed and designed to be easily implementable by staff (a simple one pager). Over 100 students now have ILPs up from the handful we previously had.</w:t>
              <w:br/>
              <w:br/>
              <w:t>It should be noted that COVID resulted in a significant departure from our Annual Implementation Plan (AIP) for 2020 and much of the year pivoted to teachers developing their online teaching skills. Areas from the 2020 AIP not undertaken in 2020 are being addressed in 2021.</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We continue to build our suite of individualised programs. Our VCAL program is providing more individualised pathways for students than ever before. VCAL completion rates are down in 2020 but we do not view this as a negative as many of those not completing VCAL left because they have secured employment (most often an apprenticeship). This is a successful outcome. We also offer more individualised pathways for VCE students via access to VET courses. 65% of our VCE students complete VCE with at least one VET subject compared to 43% of ‘similar’ schools. At the junior school, programs providing individualised pathways include the Hands on Learning program for Year 8 and 9 students. And the Cook, the Chef and Us. Both these programs see students working on a project-based model with strong links to the community for one day a week. The introduction of more variety and personalised pathways has seen a steady improvement in student engagement. In 2021 we are looking to expand both programs so that students from Year 7 onwards can access them. </w:t>
              <w:br/>
              <w:br/>
              <w:t>In the classroom we have reduced the curriculum taught to allow more time for teachers and students to explore content. This work was done when designing the rubrics and the identification of key skills. This provides more time for consolidation and more time for enrichment and higher order thinking related to these key skills. An off shoot from COVID was that we improved student’s engagement via the use of online chat systems which even when back at school students and teachers continue to use.</w:t>
              <w:br/>
              <w:br/>
              <w:t xml:space="preserve">As detailed in the Achievement section above, we also provided more students with point of need support (which is closely related to student engagement levels). The introduction of so many alternative support programs meant that more students engaged with them and their learning since it they became normalised due to the volume of students participating. </w:t>
              <w:br/>
              <w:br/>
              <w:t>Given the year, our results were in line with expectations (our expectation is that we keep improving). The College continues to improve its results year on year and the trend continues to be upwards. The 2020 engagement highlights were all attendance related (many yearly targets are based on student opinion survey which didn't run in 2020 due to COVID).</w:t>
              <w:br/>
              <w:br/>
              <w:t>- Average number of days absent decreased to 24.1 (26.9 in 2019, 28.7 in 2018, 28.1 in 2017) for the second year in a row.</w:t>
              <w:br/>
              <w:t>- Percentage of students absent for less than 10 days increased to 34% (24% in 2019, 26% in 2018, 25% in 2017).</w:t>
              <w:br/>
              <w:t>- Percentage of students absent for 20+ days decreased to 39% (42% in 2019, 46% in 2018, 50% in 2017).</w:t>
              <w:br/>
              <w:t>- Retention rates from Year 7 to 10 increased to 78.8% which is better than 'like' schools and better than the State.</w:t>
              <w:br/>
              <w:br/>
              <w:t>We had planned a significant increase in our extra-curricular programs in 2020 but COVID put pay to that. These will now be rolled out in 2021.</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Our Wellbeing Team was expanded again to now include a Mental Health Practitioner. This role is very much needed off the back of COVID and the increase in students attending wellbeing. Our Wellbeing Team continue to provide an excellent support to students on an individual level but also to groups of students via groups like our Year 7 boys group and our pride group.  Our Wellbeing Team is now made up of two Youth Counsellors, a Mental Health Practitioner, a GP, an Adolescent Health Nurse, an Alcohol and Other Drug Counsellor, a HeadSpace Clinician, and a Social Worker. Together they provide excellent supports to all students.</w:t>
              <w:br/>
              <w:br/>
              <w:t>In 2020 we continued to implement Respectful Relationships curriculum and School Wide Positive Behaviours to promote and model respect, positive attitudes and behaviours. It teaches our students how to build healthy relationships, resilience and confidence. In 2021 our Mentor Program will be focused on the Resilience Project to further develop these skills and to help support students in the aftermath of COVID.</w:t>
              <w:br/>
              <w:br/>
              <w:t>With regards to COVID, our approach to online / remote learning proved highly successful and this was due to the attention paid to student wellbeing from the outset. Predicting the impacts of remote / online learning and the anxieties likely caused by isolation and the stress of COVID, we developed our approaches with this front and centre. We ran a reduced timetable and incorporated a wellbeing day every Tuesday. This day saw several alternative activities running ranging from yoga to quizzes to meditation. Our timetable was also setup to keep students in a routine while at the same time catering to individuals with more flexibility built into the day. The feedback from the senior years was that they really enjoyed the greater flexibility. In 2021 we will be exploring the possibility of senior students having a blended approach to learning with some at school and some at home learning.</w:t>
              <w:br/>
              <w:br/>
              <w:t>2020 saw us further rebuild our student voice with an expanded Student Leadership Team (SLT) and the resumption of the Student Representative Council (SRC). The leaders meeting regularly with the Principal and taking a far more active role in the school and in improving the school. All students participated in the PIVOT survey that provided specific feedback to their teachers on what is going well and what needs improving in their classes. The School Captains also sat on interview panels for teaching vacancies at the school and provided their thoughts and opinions. And DET added the School Captains onto all School Councils (we had been doing this for years so no change really).</w:t>
              <w:br/>
              <w:br/>
              <w:t>The 2020 yearly targets are based on student opinion survey, parent opinion survey and staff opinions survey which did not run in 2020 due to COVID.</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Daylesford College Council continued to manage the school funds responsibly in 2020. All of the total income of nearly six and a half million which came from the Student Resource Package was allocated to pay for staffing. The Equity funding that was received was used for staff wages to assist students in need in the areas of learning support and wellbeing. Property and equipment services continue to be high due to cleaning and maintenance costs especially in COVID times. The net operating surplus of four hundred and one thousand has been carried forward into 2021 and allocated to various curriculum, support programs and facility upgrades. The only note of concern related to the operation of the school canteen which suffered an unprecedented loss as DET schools were not eligible for JobKeeper during COVID, unlike regular hospitality businesses. The school canteen made a loss of just of $20,000. A review of the canteen will occur on 2021.</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"http://www.daylesfordsc.vic.edu.au/" </w:instrText>
            </w:r>
            <w:r>
              <w:rPr>
                <w:rFonts w:eastAsia="Arial"/>
                <w:b/>
                <w:bCs/>
                <w:sz w:val="22"/>
                <w:szCs w:val="22"/>
              </w:rPr>
              <w:fldChar w:fldCharType="separate"/>
            </w:r>
            <w:r>
              <w:rPr>
                <w:rFonts w:eastAsia="Arial"/>
                <w:b/>
                <w:bCs/>
                <w:color w:val="0000EE"/>
                <w:sz w:val="22"/>
                <w:szCs w:val="22"/>
                <w:u w:val="single"/>
              </w:rPr>
              <w:t>http://www.daylesfordsc.vic.edu.au/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836D70">
        <w:t xml:space="preserve"> for government schools</w:t>
      </w:r>
      <w:r>
        <w:t xml:space="preserve"> provides an overview of how this school is contributing to the objectives of the Education State and how it compares to other Victorian Government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rsidRPr="00836D70">
        <w:t>Refer to the ‘How to read the Annual Report’ sect</w:t>
      </w:r>
      <w:r>
        <w:t>ion for help on how to interpret this report.</w:t>
      </w:r>
    </w:p>
    <w:p w:rsidR="009E6D61" w:rsidP="00B637FF">
      <w:pPr>
        <w:pStyle w:val="Style1"/>
      </w:pPr>
      <w:r>
        <w:t>SCHOOL PROFILE</w:t>
      </w:r>
    </w:p>
    <w:p w:rsidR="009E6D61" w:rsidP="00B637FF">
      <w:pPr>
        <w:pStyle w:val="ESHeading30"/>
      </w:pPr>
      <w:r>
        <w:t>Enrolment Profile</w:t>
      </w:r>
    </w:p>
    <w:p w:rsidR="009E6D61">
      <w:pPr>
        <w:pStyle w:val="ESBodyText0"/>
      </w:pPr>
      <w:r>
        <w:t xml:space="preserve">A total of </w:t>
      </w:r>
      <w:r>
        <w:t xml:space="preserve"> 482</w:t>
      </w:r>
      <w:r>
        <w:t xml:space="preserve"> students were enrolled at this school in </w:t>
      </w:r>
      <w:r>
        <w:t>2020</w:t>
      </w:r>
      <w:r>
        <w:t xml:space="preserve">, </w:t>
      </w:r>
      <w:r>
        <w:t xml:space="preserve"> 230</w:t>
      </w:r>
      <w:r>
        <w:t xml:space="preserve"> female and </w:t>
      </w:r>
      <w:r>
        <w:t xml:space="preserve"> 252</w:t>
      </w:r>
      <w:r>
        <w:t xml:space="preserve"> male.</w:t>
      </w:r>
    </w:p>
    <w:p w:rsidR="009E6D61">
      <w:pPr>
        <w:pStyle w:val="ESBodyText0"/>
      </w:pPr>
      <w:r>
        <w:t>1</w:t>
      </w:r>
      <w:r w:rsidR="007567CF">
        <w:t xml:space="preserve"> percent of students had English as an additional language and </w:t>
      </w:r>
      <w:r>
        <w:t>2</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 which takes into account parents' occupations and education.</w:t>
      </w:r>
    </w:p>
    <w:p w:rsidR="009E6D61" w:rsidRPr="001C6AF2">
      <w:pPr>
        <w:pStyle w:val="ESBodyText0"/>
      </w:pPr>
      <w:r w:rsidRPr="001C6AF2">
        <w:t>Possible socio-economic band values are: Low, Low-Medium, Medium and High.</w:t>
      </w:r>
    </w:p>
    <w:p w:rsidR="009E6D61" w:rsidRPr="00B637FF">
      <w:pPr>
        <w:pStyle w:val="ESBodyText0"/>
      </w:pPr>
      <w:r w:rsidRPr="001C6AF2">
        <w:t xml:space="preserve">This school’s socio-economic band value is: </w:t>
      </w:r>
      <w:r>
        <w:t>Low - Medium</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2576"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61.7%</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74.2%</w:t>
            </w:r>
          </w:p>
        </w:tc>
      </w:tr>
    </w:tbl>
    <w:p w:rsidR="00001860"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1552"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3040106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52.8%</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61.2%</w:t>
            </w:r>
          </w:p>
        </w:tc>
      </w:tr>
    </w:tbl>
    <w:p w:rsidR="00DF5E8D">
      <w:pPr>
        <w:pStyle w:val="ESBodyText0"/>
        <w:spacing w:after="240"/>
      </w:pPr>
    </w:p>
    <w:p w:rsidR="00742BDA" w:rsidP="00742BDA">
      <w:pPr>
        <w:pStyle w:val="ESBodyText0"/>
        <w:spacing w:after="0" w:line="240" w:lineRule="auto"/>
      </w:pPr>
    </w:p>
    <w:p w:rsidR="009E6D61">
      <w:pPr>
        <w:spacing w:after="0" w:line="240" w:lineRule="auto"/>
        <w:rPr>
          <w:u w:val="single"/>
        </w:rPr>
      </w:pPr>
      <w:r>
        <w:rPr>
          <w:u w:val="single"/>
        </w:rPr>
        <w:br w:type="page"/>
      </w:r>
    </w:p>
    <w:p w:rsidR="009E6D61" w:rsidP="00B637FF">
      <w:pPr>
        <w:pStyle w:val="Style1"/>
      </w:pPr>
      <w:r>
        <w:t>ACHIEVEMENT</w:t>
      </w:r>
    </w:p>
    <w:p w:rsidR="004777FF"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874585">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0528" behindDoc="0" locked="0" layoutInCell="1" allowOverlap="1">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E346A0" w:rsidP="00BA1967">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73.5%</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66.2%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75.8%</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9504" behindDoc="0" locked="0" layoutInCell="1" allowOverlap="1">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1B1C12" w:rsidP="00BA1967">
            <w:pPr>
              <w:pStyle w:val="ESBodyText0"/>
              <w:jc w:val="cente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80.9%</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56.2%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66.3%</w:t>
            </w:r>
          </w:p>
        </w:tc>
      </w:tr>
    </w:tbl>
    <w:p w:rsidR="004777FF">
      <w:pPr>
        <w:spacing w:after="0" w:line="240" w:lineRule="auto"/>
      </w:pPr>
    </w:p>
    <w:p w:rsidR="00874585" w:rsidP="001F39DE">
      <w:pPr>
        <w:pStyle w:val="ESHeading30"/>
        <w:spacing w:before="200"/>
      </w:pPr>
    </w:p>
    <w:p w:rsidR="00BA1967" w:rsidP="001F39DE">
      <w:pPr>
        <w:pStyle w:val="ESHeading30"/>
        <w:spacing w:before="200"/>
      </w:pPr>
      <w:r>
        <w:t>NAPLAN</w:t>
      </w:r>
    </w:p>
    <w:p w:rsidR="00425CEA"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sidR="003A7F6A">
        <w:rPr>
          <w:rFonts w:eastAsia="Arial" w:cs="Times New Roman"/>
          <w:color w:val="000000"/>
          <w:szCs w:val="20"/>
        </w:rPr>
        <w:t>.</w:t>
      </w:r>
    </w:p>
    <w:p w:rsidR="00CC0A98" w:rsidP="0077262A">
      <w:pPr>
        <w:pStyle w:val="ESBodyText0"/>
        <w:spacing w:after="0" w:line="240" w:lineRule="auto"/>
        <w:rPr>
          <w:rFonts w:eastAsia="Arial" w:cs="Times New Roman"/>
          <w:color w:val="000000"/>
          <w:szCs w:val="20"/>
        </w:rPr>
      </w:pPr>
    </w:p>
    <w:p w:rsidR="00EA4035" w:rsidP="0077262A">
      <w:pPr>
        <w:pStyle w:val="ESHeading30"/>
        <w:spacing w:before="0"/>
      </w:pPr>
      <w:r>
        <w:t>NAPLAN Learning Gain</w:t>
      </w:r>
    </w:p>
    <w:p w:rsidR="00EA4035"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77262A" w:rsidP="0077262A">
      <w:pPr>
        <w:pStyle w:val="ESBodyText0"/>
        <w:spacing w:after="240"/>
        <w:rPr>
          <w:rFonts w:eastAsia="Arial" w:cs="Times New Roman"/>
          <w:color w:val="000000"/>
          <w:szCs w:val="20"/>
        </w:rPr>
      </w:pPr>
      <w:r>
        <w:rPr>
          <w:rFonts w:eastAsia="Arial" w:cs="Times New Roman"/>
          <w:color w:val="000000"/>
          <w:szCs w:val="20"/>
        </w:rPr>
        <w:t>NAPLAN tests were not conducted in 2020.</w:t>
      </w:r>
    </w:p>
    <w:p w:rsidR="00874585">
      <w:pPr>
        <w:spacing w:after="0" w:line="240" w:lineRule="auto"/>
        <w:rPr>
          <w:b/>
          <w:color w:val="000000" w:themeColor="text1"/>
        </w:rPr>
      </w:pPr>
      <w:r>
        <w:br w:type="page"/>
      </w:r>
    </w:p>
    <w:p w:rsidR="00874585" w:rsidP="00874585">
      <w:pPr>
        <w:pStyle w:val="Style1"/>
      </w:pPr>
      <w:r>
        <w:t>ACHIEVEMENT (continued)</w:t>
      </w:r>
    </w:p>
    <w:p w:rsidR="003157E3" w:rsidP="00874585">
      <w:pPr>
        <w:pStyle w:val="ESHeading30"/>
      </w:pPr>
      <w:r>
        <w:t>Victorian Certificate of Education (VCE)</w:t>
      </w:r>
    </w:p>
    <w:p w:rsidR="003157E3" w:rsidP="003157E3">
      <w:pPr>
        <w:pStyle w:val="ESBodyText0"/>
      </w:pPr>
      <w:r>
        <w:t>Mean study score from all VCE subjects undertaken by students at this school. This includes all Unit 3 and 4 studies (including those completed in Year 11) and any VCE VET studies awarded a study score.</w:t>
      </w:r>
    </w:p>
    <w:p w:rsidR="003157E3" w:rsidP="005B6BD9">
      <w:pPr>
        <w:pStyle w:val="ESBodyText0"/>
      </w:pPr>
      <w:r>
        <w:t>The maximum student study score is 50 and the state-wide mean (including Government and non-Government schools) is set at 30.</w:t>
      </w:r>
    </w:p>
    <w:p w:rsidR="003157E3" w:rsidP="005B6BD9">
      <w:pPr>
        <w:pStyle w:val="ESBodyText0"/>
      </w:pPr>
      <w:r>
        <w:rPr>
          <w:noProof/>
        </w:rPr>
        <w:drawing>
          <wp:anchor distT="0" distB="0" distL="114300" distR="114300" simplePos="0" relativeHeight="251668480" behindDoc="0" locked="0" layoutInCell="1" allowOverlap="1">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4"/>
        <w:gridCol w:w="112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B20B33" w:rsidRPr="00B20B33" w:rsidP="006A4059">
            <w:pPr>
              <w:pStyle w:val="ESBodyText0"/>
              <w:spacing w:line="240" w:lineRule="auto"/>
              <w:rPr>
                <w:b/>
                <w:bCs/>
              </w:rPr>
            </w:pPr>
            <w:r w:rsidRPr="00B20B33">
              <w:rPr>
                <w:b/>
                <w:bCs/>
              </w:rPr>
              <w:t>Victorian Certificate of Education</w:t>
            </w:r>
          </w:p>
        </w:tc>
        <w:tc>
          <w:tcPr>
            <w:tcW w:w="1134" w:type="dxa"/>
            <w:vAlign w:val="bottom"/>
          </w:tcPr>
          <w:p w:rsidR="00B20B33" w:rsidP="00B20B33">
            <w:pPr>
              <w:pStyle w:val="ESBodyText0"/>
              <w:spacing w:line="240" w:lineRule="auto"/>
              <w:jc w:val="center"/>
            </w:pPr>
            <w:r>
              <w:t>Latest year (2020)</w:t>
            </w:r>
          </w:p>
        </w:tc>
        <w:tc>
          <w:tcPr>
            <w:tcW w:w="1129" w:type="dxa"/>
            <w:vAlign w:val="bottom"/>
          </w:tcPr>
          <w:p w:rsidR="00B20B33" w:rsidP="00B20B33">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27.7</w:t>
            </w:r>
          </w:p>
        </w:tc>
        <w:tc>
          <w:tcPr>
            <w:tcW w:w="112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26.8</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26.9</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26.7</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28.8</w:t>
            </w:r>
          </w:p>
        </w:tc>
        <w:tc>
          <w:tcPr>
            <w:tcW w:w="1129"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28.8</w:t>
            </w:r>
          </w:p>
        </w:tc>
      </w:tr>
    </w:tbl>
    <w:p w:rsidR="00B20B33" w:rsidP="006A4059">
      <w:pPr>
        <w:pStyle w:val="ESBodyText0"/>
        <w:spacing w:line="240" w:lineRule="auto"/>
      </w:pPr>
    </w:p>
    <w:p w:rsidR="00B20B33" w:rsidP="006A4059">
      <w:pPr>
        <w:pStyle w:val="ESBodyText0"/>
        <w:spacing w:line="240" w:lineRule="auto"/>
      </w:pPr>
    </w:p>
    <w:p w:rsidR="005B6BD9"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4"/>
        <w:gridCol w:w="2438"/>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Students in 2020 who satisfactorily completed their VCE:</w:t>
            </w:r>
          </w:p>
        </w:tc>
        <w:tc>
          <w:tcPr>
            <w:tcW w:w="104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100%</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Year 12 students in 2020 undertaking at least one Vocational Education and Training (VET) unit of competence:</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55%</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VET units of competence satisfactorily completed in 2020:</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87%</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Victorian Certificate of Applied Learning (VCAL) credits satisfactorily completed in 2020:</w:t>
            </w:r>
          </w:p>
        </w:tc>
        <w:tc>
          <w:tcPr>
            <w:tcW w:w="1049" w:type="dxa"/>
            <w:tcBorders>
              <w:top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78%</w:t>
            </w:r>
          </w:p>
        </w:tc>
      </w:tr>
    </w:tbl>
    <w:p w:rsidR="005B6BD9" w:rsidP="006A4059">
      <w:pPr>
        <w:pStyle w:val="ESBodyText0"/>
        <w:spacing w:line="240" w:lineRule="auto"/>
      </w:pPr>
    </w:p>
    <w:p w:rsidR="005B6BD9">
      <w:pPr>
        <w:spacing w:after="0" w:line="240" w:lineRule="auto"/>
      </w:pPr>
    </w:p>
    <w:p w:rsidR="009E6D61" w:rsidP="00B637FF">
      <w:pPr>
        <w:pStyle w:val="Style1"/>
      </w:pPr>
      <w:r>
        <w:t>ENGAGEMENT</w:t>
      </w:r>
    </w:p>
    <w:p w:rsidR="00666BAD"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874585">
      <w:pPr>
        <w:pStyle w:val="ESHeading30"/>
      </w:pPr>
      <w:r>
        <w:t>Average Number of Student Absence Days</w:t>
      </w:r>
    </w:p>
    <w:p w:rsidR="001016C0" w:rsidP="00A55216">
      <w:pPr>
        <w:pStyle w:val="ESBodyText0"/>
        <w:spacing w:after="0"/>
      </w:pPr>
      <w:r>
        <w:t>Absence from school can impact on students’ learning.</w:t>
      </w:r>
      <w:r w:rsidR="00731F19">
        <w:t xml:space="preserve">  </w:t>
      </w:r>
      <w:r>
        <w:t>Common reasons for non-attendance include illness and extended family holidays.</w:t>
      </w:r>
      <w:r w:rsidR="00A55216">
        <w:t xml:space="preserve"> </w:t>
      </w:r>
      <w:r w:rsidRPr="00046522" w:rsidR="00A55216">
        <w:t>Absence and attendance data</w:t>
      </w:r>
      <w:r w:rsidR="00A55216">
        <w:t xml:space="preserve"> in 2020</w:t>
      </w:r>
      <w:r w:rsidRPr="00046522" w:rsidR="00A55216">
        <w:t xml:space="preserve"> may have been influenced by local processes and procedures adopted in response to remote and flexible learning.</w:t>
      </w:r>
    </w:p>
    <w:p w:rsidR="002E45F9">
      <w:pPr>
        <w:pStyle w:val="ESBodyText0"/>
      </w:pPr>
      <w:r>
        <w:rPr>
          <w:noProof/>
        </w:rPr>
        <w:drawing>
          <wp:anchor distT="0" distB="0" distL="114300" distR="114300" simplePos="0" relativeHeight="251667456" behindDoc="0" locked="0" layoutInCell="1" allowOverlap="1">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A255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8A2551" w:rsidRPr="00B20B33"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rsidR="008A2551" w:rsidP="00BA1967">
            <w:pPr>
              <w:pStyle w:val="ESBodyText0"/>
              <w:spacing w:line="240" w:lineRule="auto"/>
              <w:jc w:val="center"/>
            </w:pPr>
            <w:r>
              <w:t>Latest year (2020)</w:t>
            </w:r>
          </w:p>
        </w:tc>
        <w:tc>
          <w:tcPr>
            <w:tcW w:w="1132" w:type="dxa"/>
            <w:vAlign w:val="bottom"/>
          </w:tcPr>
          <w:p w:rsidR="008A2551"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24.1</w:t>
            </w:r>
          </w:p>
        </w:tc>
        <w:tc>
          <w:tcPr>
            <w:tcW w:w="1132"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26.9</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26.2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24.4</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17.8</w:t>
            </w:r>
          </w:p>
        </w:tc>
        <w:tc>
          <w:tcPr>
            <w:tcW w:w="1132"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19.2</w:t>
            </w:r>
          </w:p>
        </w:tc>
      </w:tr>
    </w:tbl>
    <w:p w:rsidR="002E45F9">
      <w:pPr>
        <w:pStyle w:val="ESBodyText0"/>
      </w:pPr>
    </w:p>
    <w:p w:rsidR="00874585">
      <w:pPr>
        <w:spacing w:after="0" w:line="240" w:lineRule="auto"/>
      </w:pPr>
      <w:r>
        <w:br w:type="page"/>
      </w:r>
    </w:p>
    <w:p w:rsidR="00874585" w:rsidP="00874585">
      <w:pPr>
        <w:pStyle w:val="Style1"/>
        <w:spacing w:after="240"/>
      </w:pPr>
      <w:r>
        <w:t>ENGAGEMENT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275"/>
        <w:gridCol w:w="1275"/>
        <w:gridCol w:w="1275"/>
        <w:gridCol w:w="1275"/>
        <w:gridCol w:w="1275"/>
        <w:gridCol w:w="1275"/>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74585" w:rsidP="00BA1967">
            <w:pPr>
              <w:pStyle w:val="ESBodyText0"/>
            </w:pPr>
            <w:r w:rsidRPr="006F4FB2">
              <w:rPr>
                <w:b/>
                <w:bCs/>
              </w:rPr>
              <w:t>Attendance Rate</w:t>
            </w:r>
            <w:r>
              <w:rPr>
                <w:b/>
                <w:bCs/>
              </w:rPr>
              <w:t xml:space="preserve"> (latest year)</w:t>
            </w: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r>
      <w:tr w:rsidTr="00E163B8">
        <w:tblPrEx>
          <w:tblW w:w="0" w:type="auto"/>
          <w:tblLook w:val="04A0"/>
        </w:tblPrEx>
        <w:tc>
          <w:tcPr>
            <w:tcW w:w="2835" w:type="dxa"/>
            <w:vAlign w:val="bottom"/>
          </w:tcPr>
          <w:p w:rsidR="006F4FB2" w:rsidP="00BA1967">
            <w:pPr>
              <w:pStyle w:val="ESBodyText0"/>
            </w:pPr>
          </w:p>
        </w:tc>
        <w:tc>
          <w:tcPr>
            <w:tcW w:w="1275" w:type="dxa"/>
            <w:vAlign w:val="bottom"/>
          </w:tcPr>
          <w:p w:rsidR="006F4FB2" w:rsidP="00BA1967">
            <w:pPr>
              <w:pStyle w:val="ESBodyText0"/>
              <w:jc w:val="center"/>
            </w:pPr>
            <w:r>
              <w:t>Year 7</w:t>
            </w:r>
          </w:p>
        </w:tc>
        <w:tc>
          <w:tcPr>
            <w:tcW w:w="1275" w:type="dxa"/>
            <w:vAlign w:val="bottom"/>
          </w:tcPr>
          <w:p w:rsidR="006F4FB2" w:rsidP="00BA1967">
            <w:pPr>
              <w:pStyle w:val="ESBodyText0"/>
              <w:jc w:val="center"/>
            </w:pPr>
            <w:r>
              <w:t>Year 8</w:t>
            </w:r>
          </w:p>
        </w:tc>
        <w:tc>
          <w:tcPr>
            <w:tcW w:w="1275" w:type="dxa"/>
            <w:vAlign w:val="bottom"/>
          </w:tcPr>
          <w:p w:rsidR="006F4FB2" w:rsidP="00BA1967">
            <w:pPr>
              <w:pStyle w:val="ESBodyText0"/>
              <w:jc w:val="center"/>
            </w:pPr>
            <w:r>
              <w:t>Year 9</w:t>
            </w:r>
          </w:p>
        </w:tc>
        <w:tc>
          <w:tcPr>
            <w:tcW w:w="1275" w:type="dxa"/>
            <w:vAlign w:val="bottom"/>
          </w:tcPr>
          <w:p w:rsidR="006F4FB2" w:rsidP="00BA1967">
            <w:pPr>
              <w:pStyle w:val="ESBodyText0"/>
              <w:jc w:val="center"/>
            </w:pPr>
            <w:r>
              <w:t>Year 10</w:t>
            </w:r>
          </w:p>
        </w:tc>
        <w:tc>
          <w:tcPr>
            <w:tcW w:w="1275" w:type="dxa"/>
            <w:vAlign w:val="bottom"/>
          </w:tcPr>
          <w:p w:rsidR="006F4FB2" w:rsidP="00BA1967">
            <w:pPr>
              <w:pStyle w:val="ESBodyText0"/>
              <w:jc w:val="center"/>
            </w:pPr>
            <w:r>
              <w:t>Year 11</w:t>
            </w:r>
          </w:p>
        </w:tc>
        <w:tc>
          <w:tcPr>
            <w:tcW w:w="1275" w:type="dxa"/>
            <w:vAlign w:val="bottom"/>
          </w:tcPr>
          <w:p w:rsidR="006F4FB2" w:rsidP="00BA1967">
            <w:pPr>
              <w:pStyle w:val="ESBodyText0"/>
              <w:jc w:val="center"/>
            </w:pPr>
            <w:r>
              <w:t>Year 12</w:t>
            </w:r>
          </w:p>
        </w:tc>
      </w:tr>
      <w:tr w:rsidTr="00E163B8">
        <w:tblPrEx>
          <w:tblW w:w="0" w:type="auto"/>
          <w:tblLook w:val="04A0"/>
        </w:tblPrEx>
        <w:tc>
          <w:tcPr>
            <w:tcW w:w="2835" w:type="dxa"/>
          </w:tcPr>
          <w:p w:rsidR="006F4FB2" w:rsidP="00BA1967">
            <w:pPr>
              <w:pStyle w:val="ESBodyText0"/>
            </w:pPr>
            <w:r>
              <w:t>Attendance Rate by year level (2020):</w:t>
            </w:r>
          </w:p>
        </w:tc>
        <w:tc>
          <w:tcPr>
            <w:tcW w:w="1275" w:type="dxa"/>
            <w:shd w:val="clear" w:color="auto" w:fill="FFC000"/>
            <w:tcMar>
              <w:top w:w="57" w:type="dxa"/>
            </w:tcMar>
            <w:vAlign w:val="center"/>
          </w:tcPr>
          <w:p w:rsidR="006F4FB2" w:rsidP="00BA1967">
            <w:pPr>
              <w:pStyle w:val="ESBodyText0"/>
              <w:jc w:val="center"/>
            </w:pPr>
            <w:r>
              <w:t>91%</w:t>
            </w:r>
          </w:p>
        </w:tc>
        <w:tc>
          <w:tcPr>
            <w:tcW w:w="1275" w:type="dxa"/>
            <w:shd w:val="clear" w:color="auto" w:fill="FFC000"/>
            <w:tcMar>
              <w:top w:w="57" w:type="dxa"/>
            </w:tcMar>
            <w:vAlign w:val="center"/>
          </w:tcPr>
          <w:p w:rsidR="006F4FB2" w:rsidP="00BA1967">
            <w:pPr>
              <w:pStyle w:val="ESBodyText0"/>
              <w:jc w:val="center"/>
            </w:pPr>
            <w:r>
              <w:t>85%</w:t>
            </w:r>
          </w:p>
        </w:tc>
        <w:tc>
          <w:tcPr>
            <w:tcW w:w="1275" w:type="dxa"/>
            <w:shd w:val="clear" w:color="auto" w:fill="FFC000"/>
            <w:tcMar>
              <w:top w:w="57" w:type="dxa"/>
            </w:tcMar>
            <w:vAlign w:val="center"/>
          </w:tcPr>
          <w:p w:rsidR="006F4FB2" w:rsidP="00BA1967">
            <w:pPr>
              <w:pStyle w:val="ESBodyText0"/>
              <w:jc w:val="center"/>
            </w:pPr>
            <w:r>
              <w:t>89%</w:t>
            </w:r>
          </w:p>
        </w:tc>
        <w:tc>
          <w:tcPr>
            <w:tcW w:w="1275" w:type="dxa"/>
            <w:shd w:val="clear" w:color="auto" w:fill="FFC000"/>
            <w:tcMar>
              <w:top w:w="57" w:type="dxa"/>
            </w:tcMar>
            <w:vAlign w:val="center"/>
          </w:tcPr>
          <w:p w:rsidR="006F4FB2" w:rsidP="00BA1967">
            <w:pPr>
              <w:pStyle w:val="ESBodyText0"/>
              <w:jc w:val="center"/>
            </w:pPr>
            <w:r>
              <w:t>83%</w:t>
            </w:r>
          </w:p>
        </w:tc>
        <w:tc>
          <w:tcPr>
            <w:tcW w:w="1275" w:type="dxa"/>
            <w:shd w:val="clear" w:color="auto" w:fill="FFC000"/>
            <w:tcMar>
              <w:top w:w="57" w:type="dxa"/>
            </w:tcMar>
            <w:vAlign w:val="center"/>
          </w:tcPr>
          <w:p w:rsidR="006F4FB2" w:rsidP="00BA1967">
            <w:pPr>
              <w:pStyle w:val="ESBodyText0"/>
              <w:jc w:val="center"/>
            </w:pPr>
            <w:r>
              <w:t>86%</w:t>
            </w:r>
          </w:p>
        </w:tc>
        <w:tc>
          <w:tcPr>
            <w:tcW w:w="1275" w:type="dxa"/>
            <w:shd w:val="clear" w:color="auto" w:fill="FFC000"/>
            <w:tcMar>
              <w:top w:w="57" w:type="dxa"/>
            </w:tcMar>
            <w:vAlign w:val="center"/>
          </w:tcPr>
          <w:p w:rsidR="006F4FB2" w:rsidP="00BA1967">
            <w:pPr>
              <w:pStyle w:val="ESBodyText0"/>
              <w:jc w:val="center"/>
            </w:pPr>
            <w:r>
              <w:t>95%</w:t>
            </w:r>
          </w:p>
        </w:tc>
      </w:tr>
    </w:tbl>
    <w:p w:rsidR="008A2551">
      <w:pPr>
        <w:pStyle w:val="ESBodyText0"/>
      </w:pPr>
    </w:p>
    <w:p w:rsidR="006A4059" w:rsidP="006A4059">
      <w:pPr>
        <w:pStyle w:val="ESBodyText0"/>
      </w:pPr>
    </w:p>
    <w:p w:rsidR="009E233C" w:rsidP="009E233C">
      <w:pPr>
        <w:pStyle w:val="ESHeading30"/>
      </w:pPr>
      <w:r>
        <w:t>Student Retention</w:t>
      </w:r>
    </w:p>
    <w:p w:rsidR="009E233C" w:rsidP="009E233C">
      <w:pPr>
        <w:pStyle w:val="ESBodyText0"/>
      </w:pPr>
      <w:r>
        <w:t xml:space="preserve">Percentage of </w:t>
      </w:r>
      <w:r w:rsidR="005A74BC">
        <w:t xml:space="preserve">Year 7 </w:t>
      </w:r>
      <w:r>
        <w:t>students</w:t>
      </w:r>
      <w:r w:rsidR="005A74BC">
        <w:t xml:space="preserve"> </w:t>
      </w:r>
      <w:r>
        <w:t>who remain at the school through to Year 10.</w:t>
      </w:r>
    </w:p>
    <w:p w:rsidR="006F4FB2" w:rsidP="009E233C">
      <w:pPr>
        <w:pStyle w:val="ESBodyText0"/>
      </w:pPr>
      <w:r>
        <w:rPr>
          <w:noProof/>
        </w:rPr>
        <w:drawing>
          <wp:anchor distT="0" distB="0" distL="114300" distR="114300" simplePos="0" relativeHeight="251666432" behindDoc="0" locked="0" layoutInCell="1" allowOverlap="1">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134"/>
        <w:gridCol w:w="1063"/>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vAlign w:val="bottom"/>
          </w:tcPr>
          <w:p w:rsidR="006F4FB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sidR="000A7BC6">
              <w:rPr>
                <w:rFonts w:eastAsia="Times New Roman"/>
                <w:b/>
                <w:bCs/>
                <w:color w:val="000000"/>
                <w:lang w:val="en-AU" w:eastAsia="en-AU"/>
              </w:rPr>
              <w:t>Retention</w:t>
            </w:r>
          </w:p>
          <w:p w:rsidR="006F4FB2" w:rsidRPr="00B20B33" w:rsidP="00BA1967">
            <w:pPr>
              <w:pStyle w:val="ESBodyText0"/>
              <w:spacing w:line="240" w:lineRule="auto"/>
              <w:rPr>
                <w:b/>
                <w:bCs/>
              </w:rPr>
            </w:pPr>
            <w:r>
              <w:rPr>
                <w:rFonts w:eastAsia="Times New Roman"/>
                <w:b/>
                <w:bCs/>
                <w:color w:val="000000"/>
                <w:lang w:val="en-AU" w:eastAsia="en-AU"/>
              </w:rPr>
              <w:t>Year</w:t>
            </w:r>
            <w:r w:rsidR="000A7BC6">
              <w:rPr>
                <w:rFonts w:eastAsia="Times New Roman"/>
                <w:b/>
                <w:bCs/>
                <w:color w:val="000000"/>
                <w:lang w:val="en-AU" w:eastAsia="en-AU"/>
              </w:rPr>
              <w:t xml:space="preserve"> 7 to Year 10</w:t>
            </w:r>
          </w:p>
        </w:tc>
        <w:tc>
          <w:tcPr>
            <w:tcW w:w="1134" w:type="dxa"/>
            <w:vAlign w:val="bottom"/>
          </w:tcPr>
          <w:p w:rsidR="006F4FB2" w:rsidP="00BA1967">
            <w:pPr>
              <w:pStyle w:val="ESBodyText0"/>
              <w:spacing w:line="240" w:lineRule="auto"/>
              <w:jc w:val="center"/>
            </w:pPr>
            <w:r>
              <w:t>Latest year (2020)</w:t>
            </w:r>
          </w:p>
        </w:tc>
        <w:tc>
          <w:tcPr>
            <w:tcW w:w="1063" w:type="dxa"/>
            <w:vAlign w:val="bottom"/>
          </w:tcPr>
          <w:p w:rsidR="006F4FB2" w:rsidP="00BA1967">
            <w:pPr>
              <w:pStyle w:val="ESBodyText0"/>
              <w:spacing w:line="240" w:lineRule="auto"/>
              <w:jc w:val="center"/>
            </w:pPr>
            <w:r>
              <w:t>4-year average</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 xml:space="preserve">School </w:t>
            </w:r>
            <w:r w:rsidR="000A7BC6">
              <w:t>percent</w:t>
            </w:r>
            <w:r>
              <w:t xml:space="preserve"> of </w:t>
            </w:r>
            <w:r w:rsidR="000A7BC6">
              <w:t>students retained:</w:t>
            </w:r>
          </w:p>
        </w:tc>
        <w:tc>
          <w:tcPr>
            <w:tcW w:w="1134"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78.8%</w:t>
            </w:r>
          </w:p>
        </w:tc>
        <w:tc>
          <w:tcPr>
            <w:tcW w:w="1063"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76.9%</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77.6%</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76.6%</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72.5%</w:t>
            </w:r>
          </w:p>
        </w:tc>
        <w:tc>
          <w:tcPr>
            <w:tcW w:w="1063"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72.9%</w:t>
            </w:r>
          </w:p>
        </w:tc>
      </w:tr>
    </w:tbl>
    <w:p w:rsidR="006F4FB2" w:rsidP="009E233C">
      <w:pPr>
        <w:pStyle w:val="ESBodyText0"/>
      </w:pPr>
    </w:p>
    <w:p w:rsidR="006F4FB2" w:rsidP="009E233C">
      <w:pPr>
        <w:pStyle w:val="ESBodyText0"/>
      </w:pPr>
    </w:p>
    <w:p w:rsidR="009E233C" w:rsidP="009E233C">
      <w:pPr>
        <w:pStyle w:val="ESBodyText0"/>
      </w:pPr>
    </w:p>
    <w:p w:rsidR="009E233C" w:rsidP="009E233C">
      <w:pPr>
        <w:pStyle w:val="ESHeading30"/>
      </w:pPr>
      <w:r>
        <w:t>Students exiting to further studies or full-time employment</w:t>
      </w:r>
    </w:p>
    <w:p w:rsidR="009E233C" w:rsidP="009E233C">
      <w:pPr>
        <w:pStyle w:val="ESBodyText0"/>
      </w:pPr>
      <w:r>
        <w:t xml:space="preserve">Percentage of students from </w:t>
      </w:r>
      <w:r w:rsidR="005A74BC">
        <w:t>Y</w:t>
      </w:r>
      <w:r>
        <w:t>ear</w:t>
      </w:r>
      <w:r w:rsidR="005A74BC">
        <w:t>s</w:t>
      </w:r>
      <w:r>
        <w:t xml:space="preserve"> 10 to 12 going on to further studies or full-time employment.</w:t>
      </w:r>
    </w:p>
    <w:p w:rsidR="002B731B" w:rsidP="002B731B">
      <w:pPr>
        <w:pStyle w:val="ESBodyText0"/>
        <w:spacing w:after="0"/>
      </w:pPr>
      <w:r>
        <w:t>Note:</w:t>
      </w:r>
      <w:r>
        <w:tab/>
      </w:r>
      <w:r>
        <w:t>This measure refers to data from the previous calendar year.</w:t>
      </w:r>
    </w:p>
    <w:p w:rsidR="009E233C" w:rsidP="002B731B">
      <w:pPr>
        <w:pStyle w:val="ESBodyText0"/>
        <w:ind w:firstLine="720"/>
      </w:pPr>
      <w:r>
        <w:t>Data excludes destinations recorded as 'Unknown'.</w:t>
      </w:r>
    </w:p>
    <w:p w:rsidR="00D1164B" w:rsidP="009E233C">
      <w:pPr>
        <w:pStyle w:val="ESBodyText0"/>
      </w:pPr>
      <w:r>
        <w:rPr>
          <w:noProof/>
        </w:rPr>
        <w:drawing>
          <wp:anchor distT="0" distB="0" distL="114300" distR="114300" simplePos="0" relativeHeight="251664384" behindDoc="0" locked="0" layoutInCell="1" allowOverlap="1">
            <wp:simplePos x="0" y="0"/>
            <wp:positionH relativeFrom="column">
              <wp:posOffset>3350718</wp:posOffset>
            </wp:positionH>
            <wp:positionV relativeFrom="paragraph">
              <wp:posOffset>186631</wp:posOffset>
            </wp:positionV>
            <wp:extent cx="3524250" cy="1945758"/>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119" w:type="dxa"/>
            <w:vAlign w:val="bottom"/>
          </w:tcPr>
          <w:p w:rsidR="00D1164B"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rsidR="00D1164B" w:rsidRPr="00B20B33"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rsidR="00D1164B" w:rsidP="00BA1967">
            <w:pPr>
              <w:pStyle w:val="ESBodyText0"/>
              <w:spacing w:line="240" w:lineRule="auto"/>
              <w:jc w:val="center"/>
            </w:pPr>
            <w:r>
              <w:t>Latest year (20</w:t>
            </w:r>
            <w:r w:rsidR="00271DCE">
              <w:t>19</w:t>
            </w:r>
            <w:r>
              <w:t>)</w:t>
            </w:r>
          </w:p>
        </w:tc>
        <w:tc>
          <w:tcPr>
            <w:tcW w:w="1060" w:type="dxa"/>
            <w:vAlign w:val="bottom"/>
          </w:tcPr>
          <w:p w:rsidR="00D1164B"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81.7%</w:t>
            </w:r>
          </w:p>
        </w:tc>
        <w:tc>
          <w:tcPr>
            <w:tcW w:w="1060"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91.4%</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82.8%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84.2%</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88.6%</w:t>
            </w:r>
          </w:p>
        </w:tc>
        <w:tc>
          <w:tcPr>
            <w:tcW w:w="1060"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89.1%</w:t>
            </w:r>
          </w:p>
        </w:tc>
      </w:tr>
    </w:tbl>
    <w:p w:rsidR="00D1164B" w:rsidP="009E233C">
      <w:pPr>
        <w:pStyle w:val="ESBodyText0"/>
      </w:pPr>
    </w:p>
    <w:p w:rsidR="00D1164B" w:rsidP="009E233C">
      <w:pPr>
        <w:pStyle w:val="ESBodyText0"/>
      </w:pPr>
    </w:p>
    <w:p w:rsidR="00F75E7A" w:rsidRPr="00F75E7A">
      <w:pPr>
        <w:spacing w:after="0" w:line="240" w:lineRule="auto"/>
        <w:rPr>
          <w:rFonts w:eastAsiaTheme="majorEastAsia" w:cstheme="majorBidi"/>
          <w:szCs w:val="14"/>
        </w:rPr>
      </w:pPr>
      <w:r w:rsidRPr="00F75E7A">
        <w:br w:type="page"/>
      </w:r>
    </w:p>
    <w:p w:rsidR="009E6D61" w:rsidP="00D4348E">
      <w:pPr>
        <w:pStyle w:val="Style1"/>
      </w:pPr>
      <w:r>
        <w:t>WELL</w:t>
      </w:r>
      <w:r w:rsidR="00D4348E">
        <w:t>BEING</w:t>
      </w:r>
    </w:p>
    <w:p w:rsidR="006A3AB8"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874585">
      <w:pPr>
        <w:pStyle w:val="ESHeading30"/>
      </w:pPr>
      <w:r>
        <w:t>Student Attitudes to School – Sense of Connectedness</w:t>
      </w:r>
    </w:p>
    <w:p w:rsidR="00B52429">
      <w:pPr>
        <w:pStyle w:val="ESBodyText0"/>
      </w:pPr>
      <w:r>
        <w:t>The percent endorsement on Sense of Connectedness factor, as reported in the Attitudes to School Survey completed annually by Victorian Government school students</w:t>
      </w:r>
      <w:r w:rsidR="00046522">
        <w:t xml:space="preserve">, </w:t>
      </w:r>
      <w:r>
        <w:t>indicates the percent of positive responses (agree or strongly agree).</w:t>
      </w:r>
    </w:p>
    <w:p w:rsidR="00A55216">
      <w:pPr>
        <w:pStyle w:val="ESBodyText0"/>
      </w:pPr>
      <w:r w:rsidRPr="00195BCF">
        <w:t>Schools who participated in the Student Attitudes to School survey in 2020 should refer to the advice provided regarding the consistency of their data.</w:t>
      </w:r>
    </w:p>
    <w:p w:rsidR="004F0C48">
      <w:pPr>
        <w:pStyle w:val="ESBodyText0"/>
      </w:pPr>
      <w:r>
        <w:rPr>
          <w:noProof/>
        </w:rPr>
        <w:drawing>
          <wp:anchor distT="0" distB="0" distL="114300" distR="114300" simplePos="0" relativeHeight="251662336" behindDoc="0" locked="0" layoutInCell="1" allowOverlap="1">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AA27D3"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AA27D3" w:rsidRPr="00B20B33"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AA27D3" w:rsidP="00BA1967">
            <w:pPr>
              <w:pStyle w:val="ESBodyText0"/>
              <w:spacing w:line="240" w:lineRule="auto"/>
              <w:jc w:val="center"/>
            </w:pPr>
            <w:r>
              <w:t>Latest year (2020)</w:t>
            </w:r>
          </w:p>
        </w:tc>
        <w:tc>
          <w:tcPr>
            <w:tcW w:w="1060" w:type="dxa"/>
            <w:vAlign w:val="bottom"/>
          </w:tcPr>
          <w:p w:rsidR="00AA27D3"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AA27D3"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AA27D3" w:rsidP="00BA1967">
            <w:pPr>
              <w:pStyle w:val="ESBodyText0"/>
              <w:spacing w:line="240" w:lineRule="auto"/>
              <w:jc w:val="center"/>
            </w:pPr>
            <w:r>
              <w:t>41.9%</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P="00BA1967">
            <w:pPr>
              <w:pStyle w:val="ESBodyText0"/>
              <w:spacing w:line="240" w:lineRule="auto"/>
              <w:jc w:val="center"/>
              <w:rPr>
                <w:color w:val="FFFFFF" w:themeColor="background1"/>
              </w:rPr>
            </w:pPr>
            <w:r>
              <w:rPr>
                <w:color w:val="FFFFFF" w:themeColor="background1"/>
              </w:rPr>
              <w:t>49.9%</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AA27D3" w:rsidP="00BA1967">
            <w:pPr>
              <w:pStyle w:val="ESBodyText0"/>
              <w:spacing w:line="240" w:lineRule="auto"/>
              <w:jc w:val="center"/>
            </w:pPr>
            <w:r>
              <w:t>59.5%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AA27D3" w:rsidP="00BA1967">
            <w:pPr>
              <w:pStyle w:val="ESBodyText0"/>
              <w:spacing w:line="240" w:lineRule="auto"/>
              <w:jc w:val="center"/>
            </w:pPr>
            <w:r>
              <w:t>55.3%</w:t>
            </w:r>
          </w:p>
        </w:tc>
      </w:tr>
    </w:tbl>
    <w:p w:rsidR="004F0C48">
      <w:pPr>
        <w:pStyle w:val="ESBodyText0"/>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1270</wp:posOffset>
                </wp:positionV>
                <wp:extent cx="3686175" cy="704850"/>
                <wp:effectExtent l="0" t="0" r="9525" b="0"/>
                <wp:wrapNone/>
                <wp:docPr id="32774"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7A7D8C" w:rsidRPr="00A55216" w:rsidP="007A7D8C">
                            <w:pPr>
                              <w:rPr>
                                <w:i/>
                                <w:iCs/>
                                <w:lang w:val="en-AU"/>
                              </w:rPr>
                            </w:pPr>
                            <w:r w:rsidRPr="004A3B30">
                              <w:rPr>
                                <w:i/>
                                <w:iCs/>
                                <w:lang w:val="en-AU"/>
                              </w:rPr>
                              <w:t>Due to lower participation rates and differences in collection methodology in 2020,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6" type="#_x0000_t202" alt="&quot;&quot;" style="height:55.5pt;margin-left:0;margin-top:0.1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4624" fillcolor="white" stroked="f" strokeweight="0.5pt">
                <v:textbox>
                  <w:txbxContent>
                    <w:p w:rsidR="007A7D8C" w:rsidRPr="00A55216" w:rsidP="007A7D8C">
                      <w:pPr>
                        <w:rPr>
                          <w:i/>
                          <w:iCs/>
                          <w:lang w:val="en-AU"/>
                        </w:rPr>
                      </w:pPr>
                      <w:r w:rsidRPr="004A3B30">
                        <w:rPr>
                          <w:i/>
                          <w:iCs/>
                          <w:lang w:val="en-AU"/>
                        </w:rPr>
                        <w:t>Due to lower participation rates and differences in collection methodology in 2020, data are often not comparable with previous years or within similar school groups. Care should be taken when interpreting these results.</w:t>
                      </w:r>
                    </w:p>
                  </w:txbxContent>
                </v:textbox>
                <w10:wrap anchorx="margin"/>
              </v:shape>
            </w:pict>
          </mc:Fallback>
        </mc:AlternateContent>
      </w:r>
    </w:p>
    <w:p w:rsidR="004F0C48">
      <w:pPr>
        <w:pStyle w:val="ESBodyText0"/>
      </w:pPr>
    </w:p>
    <w:p w:rsidR="00B94B51" w:rsidP="00B94B51">
      <w:pPr>
        <w:pStyle w:val="ESBodyText0"/>
        <w:spacing w:after="0" w:line="240" w:lineRule="auto"/>
      </w:pPr>
    </w:p>
    <w:p w:rsidR="00A55216" w:rsidP="00B94B51">
      <w:pPr>
        <w:pStyle w:val="ESBodyText0"/>
        <w:spacing w:after="0" w:line="240" w:lineRule="auto"/>
      </w:pPr>
    </w:p>
    <w:p w:rsidR="003221FB" w:rsidP="00D4348E">
      <w:pPr>
        <w:pStyle w:val="ESHeading30"/>
      </w:pPr>
      <w:r>
        <w:t>Student Attitudes to School – Management of Bullying</w:t>
      </w:r>
    </w:p>
    <w:p w:rsidR="00192005">
      <w:pPr>
        <w:pStyle w:val="ESBodyText0"/>
      </w:pPr>
      <w:r>
        <w:t>The percent endorsement on Management of Bullying factor, as reported in the Attitudes to School Survey completed annually by Victorian Government school students</w:t>
      </w:r>
      <w:r w:rsidR="00046522">
        <w:t xml:space="preserve">, </w:t>
      </w:r>
      <w:r>
        <w:t>indicates the percent of positive responses (agree or strongly agree).</w:t>
      </w:r>
    </w:p>
    <w:p w:rsidR="00A55216">
      <w:pPr>
        <w:pStyle w:val="ESBodyText0"/>
      </w:pPr>
      <w:r w:rsidRPr="00195BCF">
        <w:t>Schools who participated in the Student Attitudes to School survey in 2020 should refer to the advice provided regarding the consistency of their data.</w:t>
      </w:r>
    </w:p>
    <w:p w:rsidR="001B1C12">
      <w:pPr>
        <w:pStyle w:val="ESBodyText0"/>
      </w:pPr>
      <w:r>
        <w:rPr>
          <w:noProof/>
        </w:rPr>
        <w:drawing>
          <wp:anchor distT="0" distB="0" distL="114300" distR="114300" simplePos="0" relativeHeight="251661312" behindDoc="0" locked="0" layoutInCell="1" allowOverlap="1">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1B1C12" w:rsidP="00BA1967">
            <w:pPr>
              <w:pStyle w:val="ESBodyText0"/>
              <w:spacing w:line="240" w:lineRule="auto"/>
              <w:jc w:val="center"/>
            </w:pPr>
            <w:r>
              <w:t>Latest year (2020)</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45.9%</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53.4%</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60.3%</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57.9%</w:t>
            </w:r>
          </w:p>
        </w:tc>
      </w:tr>
    </w:tbl>
    <w:p w:rsidR="001B1C12" w:rsidRPr="00A55216">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-4445</wp:posOffset>
                </wp:positionV>
                <wp:extent cx="3686175" cy="704850"/>
                <wp:effectExtent l="0" t="0" r="9525" b="0"/>
                <wp:wrapNone/>
                <wp:docPr id="32784"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7A7D8C" w:rsidRPr="00A55216"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7" type="#_x0000_t202" alt="&quot;&quot;" style="height:55.5pt;margin-left:0;margin-top:-0.35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6672" fillcolor="white" stroked="f" strokeweight="0.5pt">
                <v:textbox>
                  <w:txbxContent>
                    <w:p w:rsidR="007A7D8C" w:rsidRPr="00A55216"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v:textbox>
                <w10:wrap anchorx="margin"/>
              </v:shape>
            </w:pict>
          </mc:Fallback>
        </mc:AlternateContent>
      </w:r>
    </w:p>
    <w:p w:rsidR="001B1C12" w:rsidRPr="00A55216">
      <w:pPr>
        <w:pStyle w:val="ESBodyText0"/>
      </w:pPr>
    </w:p>
    <w:p w:rsidR="00B94B51" w:rsidRPr="00A55216">
      <w:pPr>
        <w:spacing w:after="0" w:line="240" w:lineRule="auto"/>
        <w:rPr>
          <w:rFonts w:eastAsiaTheme="majorEastAsia" w:cstheme="majorBidi"/>
          <w:bCs/>
          <w:caps/>
          <w:sz w:val="20"/>
          <w:szCs w:val="20"/>
        </w:rPr>
      </w:pPr>
    </w:p>
    <w:p w:rsidR="00A55216" w:rsidRPr="00A55216">
      <w:pPr>
        <w:spacing w:after="0" w:line="240" w:lineRule="auto"/>
        <w:rPr>
          <w:rFonts w:eastAsiaTheme="majorEastAsia" w:cstheme="majorBidi"/>
          <w:bCs/>
          <w:caps/>
          <w:sz w:val="20"/>
          <w:szCs w:val="20"/>
        </w:rPr>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$5,149,024</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$1,135,852</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$1,746</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$44,734</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$32,731</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$266,733</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NDA</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$6,630,820</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$129,306</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$23,839</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$153,145</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$5,148,641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$618</w:t>
            </w:r>
          </w:p>
        </w:tc>
      </w:tr>
      <w:tr w:rsidTr="00170C22">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140216" w:rsidP="00170C22">
            <w:pPr>
              <w:spacing w:before="40" w:after="40" w:line="240" w:lineRule="auto"/>
              <w:rPr>
                <w:rFonts w:cs="Times New Roman"/>
                <w:b w:val="0"/>
                <w:bCs w:val="0"/>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140216" w:rsidP="00170C22">
            <w:pPr>
              <w:jc w:val="right"/>
            </w:pPr>
            <w:r>
              <w:t>$41,055</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$12,724</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$119,586</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$52,960</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$10,879</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140216" w:rsidP="00170C22">
            <w:pPr>
              <w:spacing w:before="40" w:after="40" w:line="240" w:lineRule="auto"/>
              <w:rPr>
                <w:rFonts w:cs="Times New Roman"/>
                <w:b w:val="0"/>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140216" w:rsidP="00170C22">
            <w:pPr>
              <w:jc w:val="right"/>
            </w:pPr>
            <w:r>
              <w:t>$211,501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$247,041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$150,921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C2284E">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C2284E">
            <w:pPr>
              <w:jc w:val="right"/>
            </w:pPr>
            <w:r>
              <w:t>$87,049</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$49,451</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140216" w:rsidP="00170C22">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140216" w:rsidP="00170C22">
            <w:pPr>
              <w:jc w:val="right"/>
            </w:pPr>
            <w:r>
              <w:t>$5,978</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NDA</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$91,101</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$6,229,505</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$401,315</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$142,370</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02 Mar 2021</w:t>
      </w:r>
      <w:r>
        <w:t xml:space="preserve"> and are subject to change during the reconciliation process.</w:t>
      </w:r>
    </w:p>
    <w:p w:rsidR="000C0E44" w:rsidP="000C0E44">
      <w:pPr>
        <w:pStyle w:val="ESBodyText0"/>
        <w:numPr>
          <w:ilvl w:val="0"/>
          <w:numId w:val="29"/>
        </w:numPr>
      </w:pPr>
      <w:r>
        <w:t>Miscellaneous Expenses include bank charges, administration expenses, insurance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
        <w:spacing w:before="240" w:after="480" w:line="240" w:lineRule="atLeast"/>
        <w:rPr>
          <w:szCs w:val="24"/>
        </w:rPr>
      </w:pPr>
      <w:r w:rsidRPr="0099239B">
        <w:rPr>
          <w:szCs w:val="24"/>
        </w:rPr>
        <w:t>F</w:t>
      </w:r>
      <w:r>
        <w:rPr>
          <w:szCs w:val="24"/>
        </w:rPr>
        <w:t xml:space="preserve">INANCIAL POSITION AS AT 31 DECEMBER </w:t>
      </w:r>
      <w:r>
        <w:rPr>
          <w:szCs w:val="24"/>
        </w:rPr>
        <w:t>2020</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$946,324</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$27,928</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$974,252</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$161,123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$5,189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$73,045</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$172,623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$4,378</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$108,341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$524,700</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3F425B">
      <w:headerReference w:type="default" r:id="rId33"/>
      <w:footerReference w:type="default" r:id="rId34"/>
      <w:headerReference w:type="first" r:id="rId35"/>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4292663"/>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2278030"/>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Daylesford Secondary College</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205233452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Daylesford Secondary College</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27505466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Daylesford Secondary College</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
    <w:name w:val="Style1 Char"/>
    <w:basedOn w:val="H2Char"/>
    <w:link w:val="Style1"/>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hAnsi="Arial" w:eastAsiaTheme="majorEastAsia"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header" Target="header8.xml" /><Relationship Id="rId34" Type="http://schemas.openxmlformats.org/officeDocument/2006/relationships/footer" Target="footer5.xml" /><Relationship Id="rId35" Type="http://schemas.openxmlformats.org/officeDocument/2006/relationships/header" Target="header9.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0.617</c:v>
                </c:pt>
                <c:pt idx="1">
                  <c:v>0.742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615598659923607"/>
          <c:y val="0.040000000000000008"/>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#N/A</c:v>
                </c:pt>
                <c:pt idx="1">
                  <c:v>#N/A</c:v>
                </c:pt>
                <c:pt idx="2">
                  <c:v>0.60257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0.528</c:v>
                </c:pt>
                <c:pt idx="1">
                  <c:v>0.612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layout>
        <c:manualLayout>
          <c:xMode val="edge"/>
          <c:yMode val="edge"/>
          <c:x val="0.39169637043451411"/>
          <c:y val="0.04"/>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0.734714</c:v>
                </c:pt>
                <c:pt idx="1">
                  <c:v>0.661813</c:v>
                </c:pt>
                <c:pt idx="2">
                  <c:v>0.758248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0.808824</c:v>
                </c:pt>
                <c:pt idx="1">
                  <c:v>0.562393</c:v>
                </c:pt>
                <c:pt idx="2">
                  <c:v>0.663364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0.042780748663101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901738845144358"/>
          <c:y val="0.15530026246719161"/>
          <c:w val="0.754875"/>
          <c:h val="0.5956203068199362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27.7</c:v>
                </c:pt>
                <c:pt idx="1">
                  <c:v>26.9</c:v>
                </c:pt>
                <c:pt idx="2">
                  <c:v>28.8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24.115308</c:v>
                </c:pt>
                <c:pt idx="1">
                  <c:v>26.218492</c:v>
                </c:pt>
                <c:pt idx="2">
                  <c:v>17.819959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a:latin typeface="Arial" panose="020B0604020202020204" pitchFamily="34" charset="0"/>
              </a:defRPr>
            </a:pPr>
            <a:r>
              <a:rPr lang="en-AU" sz="900" b="1" i="0" baseline="0">
                <a:latin typeface="Arial" panose="020B0604020202020204" pitchFamily="34" charset="0"/>
              </a:rPr>
              <a:t>Year 7 to Year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4001319353797357"/>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0.788</c:v>
                </c:pt>
                <c:pt idx="1">
                  <c:v>0.776</c:v>
                </c:pt>
                <c:pt idx="2">
                  <c:v>0.725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a:latin typeface="Arial" panose="020B0604020202020204" pitchFamily="34" charset="0"/>
              </a:defRPr>
            </a:pPr>
            <a:r>
              <a:rPr lang="en-AU" sz="900" b="1" i="0" baseline="0">
                <a:latin typeface="Arial" panose="020B0604020202020204" pitchFamily="34" charset="0"/>
              </a:rPr>
              <a:t>Years 10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0.817</c:v>
                </c:pt>
                <c:pt idx="1">
                  <c:v>0.828</c:v>
                </c:pt>
                <c:pt idx="2">
                  <c:v>0.886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5420054200542"/>
          <c:y val="0.0406091370558375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#N/A</c:v>
                </c:pt>
                <c:pt idx="1">
                  <c:v>#N/A</c:v>
                </c:pt>
                <c:pt idx="2">
                  <c:v>0.595042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